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FEF1" w14:textId="49317F7C" w:rsidR="00BF2473" w:rsidRPr="00BF2473" w:rsidRDefault="006B30F6" w:rsidP="000B3B3A">
      <w:pPr>
        <w:spacing w:after="15" w:line="259" w:lineRule="auto"/>
        <w:ind w:left="0" w:right="0" w:firstLine="0"/>
        <w:rPr>
          <w:rFonts w:ascii="Century Gothic" w:hAnsi="Century Gothic"/>
          <w:b/>
          <w:sz w:val="36"/>
          <w:szCs w:val="36"/>
        </w:rPr>
      </w:pPr>
      <w:r>
        <w:rPr>
          <w:rFonts w:ascii="Century Gothic" w:hAnsi="Century Gothic"/>
          <w:b/>
          <w:sz w:val="36"/>
          <w:szCs w:val="36"/>
        </w:rPr>
        <w:t>Partnering with Families for Student Success</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470A9144">
                <wp:simplePos x="0" y="0"/>
                <wp:positionH relativeFrom="margin">
                  <wp:posOffset>-338166</wp:posOffset>
                </wp:positionH>
                <wp:positionV relativeFrom="paragraph">
                  <wp:posOffset>132021</wp:posOffset>
                </wp:positionV>
                <wp:extent cx="7089971" cy="3304309"/>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0430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D15DE" id="Rectangle 2" o:spid="_x0000_s1026" style="position:absolute;margin-left:-26.65pt;margin-top:10.4pt;width:558.25pt;height:260.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732FD974" w14:textId="77777777" w:rsidR="005103E6" w:rsidRPr="005103E6" w:rsidRDefault="005103E6" w:rsidP="005103E6">
      <w:pPr>
        <w:spacing w:after="15" w:line="259" w:lineRule="auto"/>
        <w:ind w:left="0" w:right="0" w:firstLine="0"/>
        <w:rPr>
          <w:rFonts w:ascii="Century Gothic" w:hAnsi="Century Gothic"/>
        </w:rPr>
      </w:pPr>
      <w:r w:rsidRPr="005103E6">
        <w:rPr>
          <w:rFonts w:ascii="Century Gothic" w:hAnsi="Century Gothic"/>
          <w:b/>
          <w:color w:val="00AFAB"/>
        </w:rPr>
        <w:t>After School Professional Development Program (ASPDP) registration required</w:t>
      </w:r>
      <w:r w:rsidRPr="005103E6">
        <w:rPr>
          <w:rFonts w:ascii="Century Gothic" w:hAnsi="Century Gothic"/>
        </w:rPr>
        <w:br/>
      </w:r>
      <w:r w:rsidRPr="005103E6">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5103E6">
          <w:rPr>
            <w:rFonts w:ascii="Century Gothic" w:hAnsi="Century Gothic"/>
            <w:color w:val="23B0BF"/>
            <w:sz w:val="22"/>
            <w:u w:val="single"/>
          </w:rPr>
          <w:t>https://pci.nycenet.edu/aspdp/Course/Search</w:t>
        </w:r>
      </w:hyperlink>
      <w:r w:rsidRPr="005103E6">
        <w:rPr>
          <w:rFonts w:ascii="Century Gothic" w:hAnsi="Century Gothic"/>
          <w:sz w:val="22"/>
        </w:rPr>
        <w:t xml:space="preserve">. </w:t>
      </w:r>
    </w:p>
    <w:p w14:paraId="0DB62643" w14:textId="77777777" w:rsidR="005103E6" w:rsidRPr="005103E6" w:rsidRDefault="005103E6" w:rsidP="005103E6">
      <w:pPr>
        <w:spacing w:after="15" w:line="259" w:lineRule="auto"/>
        <w:ind w:left="0" w:right="0" w:firstLine="0"/>
        <w:rPr>
          <w:rFonts w:ascii="Century Gothic" w:hAnsi="Century Gothic"/>
          <w:b/>
          <w:color w:val="00AFAB"/>
        </w:rPr>
      </w:pPr>
    </w:p>
    <w:p w14:paraId="1FE69A34" w14:textId="77777777" w:rsidR="005103E6" w:rsidRPr="005103E6" w:rsidRDefault="005103E6" w:rsidP="005103E6">
      <w:pPr>
        <w:spacing w:after="15" w:line="259" w:lineRule="auto"/>
        <w:ind w:left="0" w:right="0" w:firstLine="0"/>
        <w:rPr>
          <w:rFonts w:ascii="Century Gothic" w:hAnsi="Century Gothic"/>
        </w:rPr>
      </w:pPr>
      <w:r w:rsidRPr="005103E6">
        <w:rPr>
          <w:rFonts w:ascii="Century Gothic" w:hAnsi="Century Gothic"/>
          <w:b/>
          <w:color w:val="00AFAB"/>
        </w:rPr>
        <w:t>Credits earned upon completion of semester coursework</w:t>
      </w:r>
      <w:r w:rsidRPr="005103E6">
        <w:rPr>
          <w:rFonts w:ascii="Century Gothic" w:hAnsi="Century Gothic"/>
        </w:rPr>
        <w:br/>
      </w:r>
      <w:r w:rsidRPr="005103E6">
        <w:rPr>
          <w:rFonts w:ascii="Century Gothic" w:hAnsi="Century Gothic"/>
          <w:sz w:val="22"/>
        </w:rPr>
        <w:t>Earn 3 P/A+ Credits and 45 CTLE hours upon successful completion of semester coursework. Time spent engaged in the course is reviewed by our instructors and staff members.</w:t>
      </w:r>
      <w:r w:rsidRPr="005103E6">
        <w:rPr>
          <w:rFonts w:ascii="Century Gothic" w:hAnsi="Century Gothic"/>
        </w:rPr>
        <w:br/>
      </w:r>
    </w:p>
    <w:p w14:paraId="6CB689C4" w14:textId="77777777" w:rsidR="005103E6" w:rsidRPr="005103E6" w:rsidRDefault="005103E6" w:rsidP="005103E6">
      <w:pPr>
        <w:spacing w:after="15" w:line="259" w:lineRule="auto"/>
        <w:ind w:left="0" w:right="0" w:firstLine="0"/>
        <w:rPr>
          <w:rFonts w:ascii="Century Gothic" w:hAnsi="Century Gothic"/>
          <w:b/>
          <w:color w:val="00AFAB"/>
        </w:rPr>
      </w:pPr>
      <w:r w:rsidRPr="005103E6">
        <w:rPr>
          <w:rFonts w:ascii="Century Gothic" w:hAnsi="Century Gothic"/>
          <w:b/>
          <w:color w:val="00AFAB"/>
        </w:rPr>
        <w:t>To start your online coursework</w:t>
      </w:r>
    </w:p>
    <w:p w14:paraId="31D00BFB" w14:textId="77777777" w:rsidR="005103E6" w:rsidRPr="005103E6" w:rsidRDefault="005103E6" w:rsidP="005103E6">
      <w:pPr>
        <w:spacing w:after="15" w:line="259" w:lineRule="auto"/>
        <w:ind w:left="0" w:right="0" w:firstLine="0"/>
        <w:rPr>
          <w:rFonts w:ascii="Century Gothic" w:hAnsi="Century Gothic"/>
          <w:sz w:val="22"/>
        </w:rPr>
      </w:pPr>
      <w:r w:rsidRPr="005103E6">
        <w:rPr>
          <w:rFonts w:ascii="Century Gothic" w:hAnsi="Century Gothic"/>
          <w:sz w:val="22"/>
        </w:rPr>
        <w:t xml:space="preserve">First, purchase on </w:t>
      </w:r>
      <w:r w:rsidRPr="005103E6">
        <w:rPr>
          <w:rFonts w:ascii="Century Gothic" w:hAnsi="Century Gothic"/>
          <w:color w:val="23B0BF"/>
          <w:sz w:val="22"/>
          <w:u w:val="single"/>
        </w:rPr>
        <w:t>quikitech.com</w:t>
      </w:r>
      <w:r w:rsidRPr="005103E6">
        <w:rPr>
          <w:rFonts w:ascii="Century Gothic" w:hAnsi="Century Gothic"/>
          <w:color w:val="23B0BF"/>
          <w:sz w:val="22"/>
        </w:rPr>
        <w:t xml:space="preserve"> </w:t>
      </w:r>
      <w:r w:rsidRPr="005103E6">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5103E6">
        <w:rPr>
          <w:rFonts w:ascii="Century Gothic" w:hAnsi="Century Gothic"/>
          <w:sz w:val="22"/>
        </w:rPr>
        <w:t>Quikitech</w:t>
      </w:r>
      <w:proofErr w:type="spellEnd"/>
      <w:r w:rsidRPr="005103E6">
        <w:rPr>
          <w:rFonts w:ascii="Century Gothic" w:hAnsi="Century Gothic"/>
          <w:sz w:val="22"/>
        </w:rPr>
        <w:t xml:space="preserve"> account to access your course link. </w:t>
      </w:r>
    </w:p>
    <w:p w14:paraId="3C83CCA1" w14:textId="087F796D" w:rsidR="00336081" w:rsidRDefault="00336081" w:rsidP="005103E6">
      <w:pPr>
        <w:spacing w:after="15" w:line="259" w:lineRule="auto"/>
        <w:ind w:right="0"/>
        <w:rPr>
          <w:rFonts w:ascii="Century Gothic" w:hAnsi="Century Gothic"/>
        </w:rPr>
      </w:pPr>
    </w:p>
    <w:p w14:paraId="1D61ED84" w14:textId="50E1AD28" w:rsidR="005103E6" w:rsidRDefault="005103E6" w:rsidP="005103E6">
      <w:pPr>
        <w:spacing w:after="15" w:line="259" w:lineRule="auto"/>
        <w:ind w:right="0"/>
        <w:rPr>
          <w:rFonts w:ascii="Century Gothic" w:hAnsi="Century Gothic"/>
        </w:rPr>
      </w:pPr>
    </w:p>
    <w:p w14:paraId="7CBCA6F4" w14:textId="77777777" w:rsidR="005103E6" w:rsidRPr="00BA6978" w:rsidRDefault="005103E6" w:rsidP="005103E6">
      <w:pPr>
        <w:spacing w:after="15" w:line="259" w:lineRule="auto"/>
        <w:ind w:right="0"/>
        <w:rPr>
          <w:rFonts w:ascii="Century Gothic" w:hAnsi="Century Gothic"/>
        </w:rPr>
      </w:pPr>
    </w:p>
    <w:p w14:paraId="4BF133F8" w14:textId="00F726B1" w:rsidR="005103E6" w:rsidRDefault="00747A77" w:rsidP="006B30F6">
      <w:pPr>
        <w:spacing w:after="10" w:line="259" w:lineRule="auto"/>
        <w:ind w:left="0" w:right="0" w:firstLine="0"/>
        <w:rPr>
          <w:rFonts w:ascii="Century Gothic" w:hAnsi="Century Gothic"/>
          <w:noProof/>
        </w:rPr>
      </w:pPr>
      <w:bookmarkStart w:id="0" w:name="_Hlk501617479"/>
      <w:r>
        <w:rPr>
          <w:noProof/>
        </w:rPr>
        <w:drawing>
          <wp:anchor distT="0" distB="0" distL="114300" distR="114300" simplePos="0" relativeHeight="251664384" behindDoc="0" locked="0" layoutInCell="1" allowOverlap="1" wp14:anchorId="7503DF26" wp14:editId="3E14F2DA">
            <wp:simplePos x="0" y="0"/>
            <wp:positionH relativeFrom="margin">
              <wp:align>right</wp:align>
            </wp:positionH>
            <wp:positionV relativeFrom="paragraph">
              <wp:posOffset>55245</wp:posOffset>
            </wp:positionV>
            <wp:extent cx="3105150" cy="2603500"/>
            <wp:effectExtent l="0" t="0" r="0" b="6350"/>
            <wp:wrapSquare wrapText="bothSides"/>
            <wp:docPr id="3" name="Picture 3" descr="Free A Man and a Woman Assisting a Girl While Jumping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 Man and a Woman Assisting a Girl While Jumping Stock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006B30F6" w:rsidRPr="006B30F6">
        <w:rPr>
          <w:rFonts w:ascii="Century Gothic" w:hAnsi="Century Gothic"/>
          <w:noProof/>
        </w:rPr>
        <w:t>There is a consistent correlation between students’ success and the involvement of their parents, guardians, and/or other family members in their education. Family members are children’s first and often most influential teachers, and are generally experts about their children and most invested in children’s success in school. Effective partnerships between teachers and other school personnel with the families of students is a key that can unlock rewards that may otherwise be unreachable. This course guides participants to reflect on past and current practices, introduces practices that have proven to be effective, and provides opportunity to create and share tools that can be used to welcome, include, and partner with students’ families throughout the year to support each child’s success in school and beyond.</w:t>
      </w:r>
      <w:r w:rsidRPr="00747A77">
        <w:rPr>
          <w:noProof/>
        </w:rPr>
        <w:t xml:space="preserve"> </w:t>
      </w:r>
    </w:p>
    <w:p w14:paraId="4929A396" w14:textId="44B56F7C" w:rsidR="005C382C" w:rsidRDefault="005C382C" w:rsidP="000B3B3A">
      <w:pPr>
        <w:spacing w:after="10" w:line="259" w:lineRule="auto"/>
        <w:ind w:left="0" w:right="0" w:firstLine="0"/>
        <w:rPr>
          <w:rFonts w:ascii="Century Gothic" w:hAnsi="Century Gothic"/>
          <w:noProof/>
        </w:rPr>
      </w:pPr>
    </w:p>
    <w:p w14:paraId="7F82BD29" w14:textId="77777777" w:rsidR="00747A77" w:rsidRPr="000B3B3A" w:rsidRDefault="00747A77" w:rsidP="000B3B3A">
      <w:pPr>
        <w:spacing w:after="10" w:line="259" w:lineRule="auto"/>
        <w:ind w:left="0" w:right="0" w:firstLine="0"/>
        <w:rPr>
          <w:rFonts w:ascii="Century Gothic" w:hAnsi="Century Gothic"/>
          <w:noProof/>
        </w:rPr>
      </w:pPr>
    </w:p>
    <w:p w14:paraId="7B5A83BB" w14:textId="78362E80"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6B30F6">
        <w:rPr>
          <w:rFonts w:ascii="Century Gothic" w:hAnsi="Century Gothic"/>
          <w:noProof/>
        </w:rPr>
        <w:t>7</w:t>
      </w:r>
      <w:r w:rsidR="006B5C97">
        <w:rPr>
          <w:rFonts w:ascii="Century Gothic" w:hAnsi="Century Gothic"/>
          <w:noProof/>
        </w:rPr>
        <w:t xml:space="preserve"> sessions.</w:t>
      </w:r>
    </w:p>
    <w:p w14:paraId="69E97FDE" w14:textId="669AEF50" w:rsidR="000B3B3A" w:rsidRPr="000B3B3A" w:rsidRDefault="000B3B3A" w:rsidP="000B3B3A">
      <w:pPr>
        <w:spacing w:after="10" w:line="259" w:lineRule="auto"/>
        <w:ind w:left="0" w:right="0" w:firstLine="0"/>
        <w:rPr>
          <w:rFonts w:ascii="Century Gothic" w:hAnsi="Century Gothic"/>
          <w:b/>
          <w:noProof/>
        </w:rPr>
      </w:pPr>
    </w:p>
    <w:p w14:paraId="52F9A194" w14:textId="576293D7"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1:</w:t>
      </w:r>
      <w:r w:rsidRPr="005C382C">
        <w:rPr>
          <w:rFonts w:ascii="Century Gothic" w:hAnsi="Century Gothic"/>
          <w:noProof/>
        </w:rPr>
        <w:t xml:space="preserve"> </w:t>
      </w:r>
      <w:r w:rsidR="006B30F6" w:rsidRPr="006B30F6">
        <w:rPr>
          <w:rFonts w:ascii="Century Gothic" w:hAnsi="Century Gothic"/>
          <w:noProof/>
        </w:rPr>
        <w:t>A Time to Reflect… and to Look Ahead</w:t>
      </w:r>
      <w:r w:rsidR="006B30F6">
        <w:rPr>
          <w:rFonts w:ascii="Century Gothic" w:hAnsi="Century Gothic"/>
          <w:noProof/>
        </w:rPr>
        <w:t>!</w:t>
      </w:r>
    </w:p>
    <w:p w14:paraId="4DB89B28" w14:textId="369BE4F5"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2:</w:t>
      </w:r>
      <w:r w:rsidRPr="005C382C">
        <w:rPr>
          <w:rFonts w:ascii="Century Gothic" w:hAnsi="Century Gothic"/>
          <w:noProof/>
        </w:rPr>
        <w:t xml:space="preserve"> </w:t>
      </w:r>
      <w:r w:rsidR="006B30F6" w:rsidRPr="006B30F6">
        <w:rPr>
          <w:rFonts w:ascii="Century Gothic" w:hAnsi="Century Gothic"/>
          <w:noProof/>
        </w:rPr>
        <w:t>Identifying Personal &amp; Systemic Biases and other Potential Impediments to Family Inclusion, and Overcoming Them for Students’ Success</w:t>
      </w:r>
      <w:r w:rsidRPr="005C382C">
        <w:rPr>
          <w:rFonts w:ascii="Century Gothic" w:hAnsi="Century Gothic"/>
          <w:noProof/>
        </w:rPr>
        <w:t xml:space="preserve"> </w:t>
      </w:r>
    </w:p>
    <w:p w14:paraId="3E25390E" w14:textId="5F265C5F"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3:</w:t>
      </w:r>
      <w:r w:rsidRPr="005C382C">
        <w:rPr>
          <w:rFonts w:ascii="Century Gothic" w:hAnsi="Century Gothic"/>
          <w:noProof/>
        </w:rPr>
        <w:t xml:space="preserve"> </w:t>
      </w:r>
      <w:r w:rsidR="006B30F6" w:rsidRPr="006B30F6">
        <w:rPr>
          <w:rFonts w:ascii="Century Gothic" w:hAnsi="Century Gothic"/>
          <w:noProof/>
        </w:rPr>
        <w:t>Ways to Involve Families</w:t>
      </w:r>
    </w:p>
    <w:p w14:paraId="350A9AAA" w14:textId="265E08D8"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4:</w:t>
      </w:r>
      <w:r w:rsidRPr="005C382C">
        <w:rPr>
          <w:rFonts w:ascii="Century Gothic" w:hAnsi="Century Gothic"/>
          <w:noProof/>
        </w:rPr>
        <w:t xml:space="preserve"> </w:t>
      </w:r>
      <w:r w:rsidR="006B30F6" w:rsidRPr="006B30F6">
        <w:rPr>
          <w:rFonts w:ascii="Century Gothic" w:hAnsi="Century Gothic"/>
          <w:noProof/>
        </w:rPr>
        <w:t>Creating and Conducting Surveys and other Communication for Families</w:t>
      </w:r>
      <w:r w:rsidRPr="005C382C">
        <w:rPr>
          <w:rFonts w:ascii="Century Gothic" w:hAnsi="Century Gothic"/>
          <w:noProof/>
        </w:rPr>
        <w:t xml:space="preserve"> </w:t>
      </w:r>
    </w:p>
    <w:p w14:paraId="72DC37A8" w14:textId="33F74A0D"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5:</w:t>
      </w:r>
      <w:r w:rsidRPr="005C382C">
        <w:rPr>
          <w:rFonts w:ascii="Century Gothic" w:hAnsi="Century Gothic"/>
          <w:noProof/>
        </w:rPr>
        <w:t xml:space="preserve"> </w:t>
      </w:r>
      <w:r w:rsidR="006B30F6" w:rsidRPr="006B30F6">
        <w:rPr>
          <w:rFonts w:ascii="Century Gothic" w:hAnsi="Century Gothic"/>
          <w:noProof/>
        </w:rPr>
        <w:t>Creating &amp; Sustaining a Family-Welcoming Classroom, School, and District Cultur</w:t>
      </w:r>
      <w:r w:rsidR="006B30F6">
        <w:rPr>
          <w:rFonts w:ascii="Century Gothic" w:hAnsi="Century Gothic"/>
          <w:noProof/>
        </w:rPr>
        <w:t>e</w:t>
      </w:r>
      <w:r w:rsidRPr="005C382C">
        <w:rPr>
          <w:rFonts w:ascii="Century Gothic" w:hAnsi="Century Gothic"/>
          <w:noProof/>
        </w:rPr>
        <w:t xml:space="preserve"> </w:t>
      </w:r>
    </w:p>
    <w:p w14:paraId="296BC063" w14:textId="77777777" w:rsidR="006B30F6" w:rsidRDefault="006B30F6" w:rsidP="00F153D7">
      <w:pPr>
        <w:spacing w:after="10" w:line="259" w:lineRule="auto"/>
        <w:ind w:left="0" w:right="0" w:firstLine="0"/>
        <w:rPr>
          <w:rFonts w:ascii="Century Gothic" w:hAnsi="Century Gothic"/>
          <w:bCs/>
          <w:noProof/>
        </w:rPr>
      </w:pPr>
      <w:r>
        <w:rPr>
          <w:rFonts w:ascii="Century Gothic" w:hAnsi="Century Gothic"/>
          <w:b/>
          <w:noProof/>
        </w:rPr>
        <w:t xml:space="preserve">Session 6: </w:t>
      </w:r>
      <w:r>
        <w:rPr>
          <w:rFonts w:ascii="Century Gothic" w:hAnsi="Century Gothic"/>
          <w:bCs/>
          <w:noProof/>
        </w:rPr>
        <w:t>Special Events</w:t>
      </w:r>
    </w:p>
    <w:p w14:paraId="43A89FF8" w14:textId="24509661" w:rsidR="00F153D7" w:rsidRDefault="005C382C" w:rsidP="00F153D7">
      <w:pPr>
        <w:spacing w:after="10" w:line="259" w:lineRule="auto"/>
        <w:ind w:left="0" w:right="0" w:firstLine="0"/>
        <w:rPr>
          <w:rFonts w:ascii="Century Gothic" w:hAnsi="Century Gothic"/>
          <w:noProof/>
        </w:rPr>
      </w:pPr>
      <w:r w:rsidRPr="005C382C">
        <w:rPr>
          <w:rFonts w:ascii="Century Gothic" w:hAnsi="Century Gothic"/>
          <w:b/>
          <w:noProof/>
        </w:rPr>
        <w:t xml:space="preserve">Session </w:t>
      </w:r>
      <w:r w:rsidR="006B30F6">
        <w:rPr>
          <w:rFonts w:ascii="Century Gothic" w:hAnsi="Century Gothic"/>
          <w:b/>
          <w:noProof/>
        </w:rPr>
        <w:t>7</w:t>
      </w:r>
      <w:r w:rsidRPr="005C382C">
        <w:rPr>
          <w:rFonts w:ascii="Century Gothic" w:hAnsi="Century Gothic"/>
          <w:b/>
          <w:noProof/>
        </w:rPr>
        <w:t>:</w:t>
      </w:r>
      <w:r w:rsidRPr="005C382C">
        <w:rPr>
          <w:rFonts w:ascii="Century Gothic" w:hAnsi="Century Gothic"/>
          <w:noProof/>
        </w:rPr>
        <w:t xml:space="preserve"> Final Project</w:t>
      </w:r>
      <w:bookmarkEnd w:id="0"/>
    </w:p>
    <w:p w14:paraId="00F3731E" w14:textId="1693EA51" w:rsidR="005103E6" w:rsidRDefault="005103E6" w:rsidP="00F153D7">
      <w:pPr>
        <w:spacing w:after="10" w:line="259" w:lineRule="auto"/>
        <w:ind w:left="0" w:right="0" w:firstLine="0"/>
        <w:rPr>
          <w:rFonts w:ascii="Century Gothic" w:hAnsi="Century Gothic"/>
          <w:noProof/>
        </w:rPr>
      </w:pPr>
    </w:p>
    <w:p w14:paraId="287620BB" w14:textId="61AA5BD7" w:rsidR="005103E6" w:rsidRDefault="005103E6" w:rsidP="005103E6">
      <w:pPr>
        <w:spacing w:after="10" w:line="259" w:lineRule="auto"/>
        <w:ind w:left="0" w:right="0" w:firstLine="0"/>
        <w:rPr>
          <w:rFonts w:ascii="Century Gothic" w:hAnsi="Century Gothic"/>
          <w:b/>
          <w:noProof/>
        </w:rPr>
      </w:pPr>
      <w:r w:rsidRPr="002E1D8B">
        <w:rPr>
          <w:rFonts w:ascii="Century Gothic" w:hAnsi="Century Gothic"/>
          <w:b/>
          <w:noProof/>
        </w:rPr>
        <w:t>Aligned with Danielson’s Framework for Teaching, including Components:</w:t>
      </w:r>
    </w:p>
    <w:p w14:paraId="5F922F08" w14:textId="77777777" w:rsidR="006B30F6" w:rsidRPr="002E1D8B" w:rsidRDefault="006B30F6" w:rsidP="005103E6">
      <w:pPr>
        <w:spacing w:after="10" w:line="259" w:lineRule="auto"/>
        <w:ind w:left="0" w:right="0" w:firstLine="0"/>
        <w:rPr>
          <w:rFonts w:ascii="Century Gothic" w:hAnsi="Century Gothic"/>
          <w:b/>
          <w:noProof/>
        </w:rPr>
      </w:pPr>
    </w:p>
    <w:p w14:paraId="31DE49FE" w14:textId="1B9FEF41" w:rsidR="006B30F6" w:rsidRPr="006B30F6" w:rsidRDefault="006B30F6" w:rsidP="006B30F6">
      <w:pPr>
        <w:pStyle w:val="ListParagraph"/>
        <w:numPr>
          <w:ilvl w:val="0"/>
          <w:numId w:val="1"/>
        </w:numPr>
        <w:spacing w:after="10" w:line="259" w:lineRule="auto"/>
        <w:ind w:right="0"/>
        <w:rPr>
          <w:rFonts w:ascii="Century Gothic" w:hAnsi="Century Gothic"/>
          <w:noProof/>
        </w:rPr>
      </w:pPr>
      <w:r w:rsidRPr="006B30F6">
        <w:rPr>
          <w:rFonts w:ascii="Century Gothic" w:hAnsi="Century Gothic"/>
          <w:noProof/>
        </w:rPr>
        <w:t>4a : Reflecting on Teaching</w:t>
      </w:r>
    </w:p>
    <w:p w14:paraId="56D25DD4" w14:textId="37C9538A" w:rsidR="005103E6" w:rsidRPr="002E1D8B" w:rsidRDefault="006B30F6" w:rsidP="006B30F6">
      <w:pPr>
        <w:pStyle w:val="ListParagraph"/>
        <w:numPr>
          <w:ilvl w:val="0"/>
          <w:numId w:val="1"/>
        </w:numPr>
        <w:spacing w:after="10" w:line="259" w:lineRule="auto"/>
        <w:ind w:right="0"/>
        <w:rPr>
          <w:rFonts w:ascii="Century Gothic" w:hAnsi="Century Gothic"/>
          <w:noProof/>
        </w:rPr>
      </w:pPr>
      <w:r w:rsidRPr="006B30F6">
        <w:rPr>
          <w:rFonts w:ascii="Century Gothic" w:hAnsi="Century Gothic"/>
          <w:noProof/>
        </w:rPr>
        <w:t>4c : Communicating with Families</w:t>
      </w:r>
    </w:p>
    <w:p w14:paraId="745064E6" w14:textId="77777777" w:rsidR="005103E6" w:rsidRPr="006B5C97" w:rsidRDefault="005103E6" w:rsidP="005103E6">
      <w:pPr>
        <w:spacing w:after="10" w:line="259" w:lineRule="auto"/>
        <w:ind w:left="0" w:right="0" w:firstLine="0"/>
        <w:rPr>
          <w:rFonts w:ascii="Century Gothic" w:hAnsi="Century Gothic"/>
          <w:noProof/>
        </w:rPr>
      </w:pPr>
    </w:p>
    <w:p w14:paraId="4E7A65B4" w14:textId="77777777" w:rsidR="005103E6" w:rsidRPr="00F45095" w:rsidRDefault="005103E6" w:rsidP="005103E6">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4390E38B" w14:textId="77777777" w:rsidR="005103E6" w:rsidRPr="005C382C" w:rsidRDefault="005103E6" w:rsidP="00F153D7">
      <w:pPr>
        <w:spacing w:after="10" w:line="259" w:lineRule="auto"/>
        <w:ind w:left="0" w:right="0" w:firstLine="0"/>
        <w:rPr>
          <w:rFonts w:ascii="Century Gothic" w:hAnsi="Century Gothic"/>
          <w:b/>
        </w:rPr>
      </w:pPr>
    </w:p>
    <w:sectPr w:rsidR="005103E6"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865A" w14:textId="77777777" w:rsidR="001E380D" w:rsidRDefault="001E380D" w:rsidP="00A9270B">
      <w:pPr>
        <w:spacing w:after="0" w:line="240" w:lineRule="auto"/>
      </w:pPr>
      <w:r>
        <w:separator/>
      </w:r>
    </w:p>
  </w:endnote>
  <w:endnote w:type="continuationSeparator" w:id="0">
    <w:p w14:paraId="7F01F6E1" w14:textId="77777777" w:rsidR="001E380D" w:rsidRDefault="001E380D"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018C" w14:textId="449417C1"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w:t>
    </w:r>
    <w:r w:rsidR="00747A77">
      <w:rPr>
        <w:rFonts w:ascii="Century Gothic" w:hAnsi="Century Gothic"/>
        <w:iCs/>
        <w:color w:val="3B3838" w:themeColor="background2" w:themeShade="40"/>
      </w:rPr>
      <w:t>22</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F5F5" w14:textId="77777777" w:rsidR="001E380D" w:rsidRDefault="001E380D" w:rsidP="00A9270B">
      <w:pPr>
        <w:spacing w:after="0" w:line="240" w:lineRule="auto"/>
      </w:pPr>
      <w:r>
        <w:separator/>
      </w:r>
    </w:p>
  </w:footnote>
  <w:footnote w:type="continuationSeparator" w:id="0">
    <w:p w14:paraId="7BDED0AA" w14:textId="77777777" w:rsidR="001E380D" w:rsidRDefault="001E380D"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2DE1"/>
    <w:multiLevelType w:val="hybridMultilevel"/>
    <w:tmpl w:val="7B8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05B5D"/>
    <w:multiLevelType w:val="hybridMultilevel"/>
    <w:tmpl w:val="905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91402">
    <w:abstractNumId w:val="0"/>
  </w:num>
  <w:num w:numId="2" w16cid:durableId="1302539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230A2"/>
    <w:rsid w:val="001E380D"/>
    <w:rsid w:val="0025608E"/>
    <w:rsid w:val="0027728C"/>
    <w:rsid w:val="002C051E"/>
    <w:rsid w:val="002E1D8B"/>
    <w:rsid w:val="00336081"/>
    <w:rsid w:val="00337297"/>
    <w:rsid w:val="00366A11"/>
    <w:rsid w:val="00397598"/>
    <w:rsid w:val="004F7986"/>
    <w:rsid w:val="005103E6"/>
    <w:rsid w:val="00543D95"/>
    <w:rsid w:val="005C382C"/>
    <w:rsid w:val="006B2F2A"/>
    <w:rsid w:val="006B30F6"/>
    <w:rsid w:val="006B5C97"/>
    <w:rsid w:val="007457E0"/>
    <w:rsid w:val="00747A77"/>
    <w:rsid w:val="007765E4"/>
    <w:rsid w:val="007A48EB"/>
    <w:rsid w:val="007E38B7"/>
    <w:rsid w:val="00862CCD"/>
    <w:rsid w:val="008C7B7E"/>
    <w:rsid w:val="008E7CA4"/>
    <w:rsid w:val="00950752"/>
    <w:rsid w:val="009A672F"/>
    <w:rsid w:val="009E2068"/>
    <w:rsid w:val="00A4495E"/>
    <w:rsid w:val="00A9270B"/>
    <w:rsid w:val="00BA6978"/>
    <w:rsid w:val="00BF2473"/>
    <w:rsid w:val="00D260F4"/>
    <w:rsid w:val="00D71CF4"/>
    <w:rsid w:val="00D92823"/>
    <w:rsid w:val="00DC6252"/>
    <w:rsid w:val="00E90926"/>
    <w:rsid w:val="00F04D73"/>
    <w:rsid w:val="00F153D7"/>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2E1D8B"/>
    <w:pPr>
      <w:ind w:left="720"/>
      <w:contextualSpacing/>
    </w:pPr>
  </w:style>
  <w:style w:type="character" w:styleId="Hyperlink">
    <w:name w:val="Hyperlink"/>
    <w:basedOn w:val="DefaultParagraphFont"/>
    <w:uiPriority w:val="99"/>
    <w:unhideWhenUsed/>
    <w:rsid w:val="00510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9680">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614337220">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133641963">
      <w:bodyDiv w:val="1"/>
      <w:marLeft w:val="0"/>
      <w:marRight w:val="0"/>
      <w:marTop w:val="0"/>
      <w:marBottom w:val="0"/>
      <w:divBdr>
        <w:top w:val="none" w:sz="0" w:space="0" w:color="auto"/>
        <w:left w:val="none" w:sz="0" w:space="0" w:color="auto"/>
        <w:bottom w:val="none" w:sz="0" w:space="0" w:color="auto"/>
        <w:right w:val="none" w:sz="0" w:space="0" w:color="auto"/>
      </w:divBdr>
    </w:div>
    <w:div w:id="1138187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2022-09-09T16:03:00Z</dcterms:created>
  <dcterms:modified xsi:type="dcterms:W3CDTF">2022-09-09T16:03:00Z</dcterms:modified>
</cp:coreProperties>
</file>