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1B295355" w:rsidR="00BF2473" w:rsidRPr="00BF2473" w:rsidRDefault="000B3B3A" w:rsidP="000B3B3A">
      <w:pPr>
        <w:spacing w:after="15" w:line="259" w:lineRule="auto"/>
        <w:ind w:left="0" w:right="0" w:firstLine="0"/>
        <w:rPr>
          <w:rFonts w:ascii="Century Gothic" w:hAnsi="Century Gothic"/>
          <w:b/>
          <w:sz w:val="36"/>
          <w:szCs w:val="36"/>
        </w:rPr>
      </w:pPr>
      <w:r w:rsidRPr="000B3B3A">
        <w:rPr>
          <w:rFonts w:ascii="Century Gothic" w:hAnsi="Century Gothic"/>
          <w:b/>
          <w:sz w:val="36"/>
          <w:szCs w:val="36"/>
        </w:rPr>
        <w:t>Effective Formative Assessment Practices</w:t>
      </w:r>
    </w:p>
    <w:p w14:paraId="7337EF8B" w14:textId="2F1376AB" w:rsidR="00012008" w:rsidRPr="00BA6978" w:rsidRDefault="008C7B7E"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26F02E52">
                <wp:simplePos x="0" y="0"/>
                <wp:positionH relativeFrom="margin">
                  <wp:posOffset>-341630</wp:posOffset>
                </wp:positionH>
                <wp:positionV relativeFrom="paragraph">
                  <wp:posOffset>131445</wp:posOffset>
                </wp:positionV>
                <wp:extent cx="7089971" cy="3143250"/>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143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3976" id="Rectangle 2" o:spid="_x0000_s1026" style="position:absolute;margin-left:-26.9pt;margin-top:10.35pt;width:558.25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4691831B" w14:textId="77777777" w:rsidR="005E3C69" w:rsidRPr="005E3C69" w:rsidRDefault="005E3C69" w:rsidP="005E3C69">
      <w:pPr>
        <w:spacing w:after="15" w:line="259" w:lineRule="auto"/>
        <w:ind w:left="0" w:right="0" w:firstLine="0"/>
        <w:rPr>
          <w:rFonts w:ascii="Century Gothic" w:hAnsi="Century Gothic"/>
        </w:rPr>
      </w:pPr>
      <w:r w:rsidRPr="005E3C69">
        <w:rPr>
          <w:rFonts w:ascii="Century Gothic" w:hAnsi="Century Gothic"/>
          <w:b/>
          <w:color w:val="00AFAB"/>
        </w:rPr>
        <w:t>After School Professional Development Program (ASPDP) registration required</w:t>
      </w:r>
      <w:r w:rsidRPr="005E3C69">
        <w:rPr>
          <w:rFonts w:ascii="Century Gothic" w:hAnsi="Century Gothic"/>
        </w:rPr>
        <w:br/>
      </w:r>
      <w:r w:rsidRPr="005E3C69">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5E3C69">
          <w:rPr>
            <w:rFonts w:ascii="Century Gothic" w:hAnsi="Century Gothic"/>
            <w:color w:val="23B0BF"/>
            <w:sz w:val="22"/>
            <w:u w:val="single"/>
          </w:rPr>
          <w:t>https://pci.nycenet.edu/aspdp/Course/Search</w:t>
        </w:r>
      </w:hyperlink>
      <w:r w:rsidRPr="005E3C69">
        <w:rPr>
          <w:rFonts w:ascii="Century Gothic" w:hAnsi="Century Gothic"/>
          <w:sz w:val="22"/>
        </w:rPr>
        <w:t xml:space="preserve">. </w:t>
      </w:r>
    </w:p>
    <w:p w14:paraId="575F8989" w14:textId="77777777" w:rsidR="005E3C69" w:rsidRPr="005E3C69" w:rsidRDefault="005E3C69" w:rsidP="005E3C69">
      <w:pPr>
        <w:spacing w:after="15" w:line="259" w:lineRule="auto"/>
        <w:ind w:left="0" w:right="0" w:firstLine="0"/>
        <w:rPr>
          <w:rFonts w:ascii="Century Gothic" w:hAnsi="Century Gothic"/>
          <w:b/>
          <w:color w:val="00AFAB"/>
        </w:rPr>
      </w:pPr>
    </w:p>
    <w:p w14:paraId="072C27BC" w14:textId="77777777" w:rsidR="005E3C69" w:rsidRPr="005E3C69" w:rsidRDefault="005E3C69" w:rsidP="005E3C69">
      <w:pPr>
        <w:spacing w:after="15" w:line="259" w:lineRule="auto"/>
        <w:ind w:left="0" w:right="0" w:firstLine="0"/>
        <w:rPr>
          <w:rFonts w:ascii="Century Gothic" w:hAnsi="Century Gothic"/>
        </w:rPr>
      </w:pPr>
      <w:r w:rsidRPr="005E3C69">
        <w:rPr>
          <w:rFonts w:ascii="Century Gothic" w:hAnsi="Century Gothic"/>
          <w:b/>
          <w:color w:val="00AFAB"/>
        </w:rPr>
        <w:t>Credits earned upon completion of semester coursework</w:t>
      </w:r>
      <w:r w:rsidRPr="005E3C69">
        <w:rPr>
          <w:rFonts w:ascii="Century Gothic" w:hAnsi="Century Gothic"/>
        </w:rPr>
        <w:br/>
      </w:r>
      <w:r w:rsidRPr="005E3C69">
        <w:rPr>
          <w:rFonts w:ascii="Century Gothic" w:hAnsi="Century Gothic"/>
          <w:sz w:val="22"/>
        </w:rPr>
        <w:t>Earn 3 P/A+ Credits and 45 CTLE hours upon successful completion of semester coursework. Time spent engaged in the course is reviewed by our instructors and staff members.</w:t>
      </w:r>
      <w:r w:rsidRPr="005E3C69">
        <w:rPr>
          <w:rFonts w:ascii="Century Gothic" w:hAnsi="Century Gothic"/>
        </w:rPr>
        <w:br/>
      </w:r>
    </w:p>
    <w:p w14:paraId="43FD1E67" w14:textId="77777777" w:rsidR="005E3C69" w:rsidRPr="005E3C69" w:rsidRDefault="005E3C69" w:rsidP="005E3C69">
      <w:pPr>
        <w:spacing w:after="15" w:line="259" w:lineRule="auto"/>
        <w:ind w:left="0" w:right="0" w:firstLine="0"/>
        <w:rPr>
          <w:rFonts w:ascii="Century Gothic" w:hAnsi="Century Gothic"/>
          <w:b/>
          <w:color w:val="00AFAB"/>
        </w:rPr>
      </w:pPr>
      <w:r w:rsidRPr="005E3C69">
        <w:rPr>
          <w:rFonts w:ascii="Century Gothic" w:hAnsi="Century Gothic"/>
          <w:b/>
          <w:color w:val="00AFAB"/>
        </w:rPr>
        <w:t>To start your online coursework</w:t>
      </w:r>
    </w:p>
    <w:p w14:paraId="60843DB7" w14:textId="77777777" w:rsidR="005E3C69" w:rsidRPr="005E3C69" w:rsidRDefault="005E3C69" w:rsidP="005E3C69">
      <w:pPr>
        <w:spacing w:after="15" w:line="259" w:lineRule="auto"/>
        <w:ind w:left="0" w:right="0" w:firstLine="0"/>
        <w:rPr>
          <w:rFonts w:ascii="Century Gothic" w:hAnsi="Century Gothic"/>
          <w:sz w:val="22"/>
        </w:rPr>
      </w:pPr>
      <w:r w:rsidRPr="005E3C69">
        <w:rPr>
          <w:rFonts w:ascii="Century Gothic" w:hAnsi="Century Gothic"/>
          <w:sz w:val="22"/>
        </w:rPr>
        <w:t xml:space="preserve">First, purchase on </w:t>
      </w:r>
      <w:r w:rsidRPr="005E3C69">
        <w:rPr>
          <w:rFonts w:ascii="Century Gothic" w:hAnsi="Century Gothic"/>
          <w:color w:val="23B0BF"/>
          <w:sz w:val="22"/>
          <w:u w:val="single"/>
        </w:rPr>
        <w:t>quikitech.com</w:t>
      </w:r>
      <w:r w:rsidRPr="005E3C69">
        <w:rPr>
          <w:rFonts w:ascii="Century Gothic" w:hAnsi="Century Gothic"/>
          <w:color w:val="23B0BF"/>
          <w:sz w:val="22"/>
        </w:rPr>
        <w:t xml:space="preserve"> </w:t>
      </w:r>
      <w:r w:rsidRPr="005E3C69">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5E3C69">
        <w:rPr>
          <w:rFonts w:ascii="Century Gothic" w:hAnsi="Century Gothic"/>
          <w:sz w:val="22"/>
        </w:rPr>
        <w:t>Quikitech</w:t>
      </w:r>
      <w:proofErr w:type="spellEnd"/>
      <w:r w:rsidRPr="005E3C69">
        <w:rPr>
          <w:rFonts w:ascii="Century Gothic" w:hAnsi="Century Gothic"/>
          <w:sz w:val="22"/>
        </w:rPr>
        <w:t xml:space="preserve"> account to access your course link. </w:t>
      </w:r>
    </w:p>
    <w:p w14:paraId="3C83CCA1" w14:textId="77777777" w:rsidR="00336081" w:rsidRPr="00BA6978" w:rsidRDefault="00336081" w:rsidP="005E3C69">
      <w:pPr>
        <w:spacing w:after="15" w:line="259" w:lineRule="auto"/>
        <w:ind w:left="62" w:right="0" w:firstLine="0"/>
        <w:rPr>
          <w:rFonts w:ascii="Century Gothic" w:hAnsi="Century Gothic"/>
        </w:rPr>
      </w:pPr>
    </w:p>
    <w:p w14:paraId="561A1CA4" w14:textId="77777777" w:rsidR="005E3C69" w:rsidRPr="006B5C97" w:rsidRDefault="005E3C69" w:rsidP="002D622C">
      <w:pPr>
        <w:spacing w:after="10" w:line="259" w:lineRule="auto"/>
        <w:ind w:left="0" w:right="0" w:firstLine="0"/>
        <w:rPr>
          <w:rFonts w:ascii="Century Gothic" w:hAnsi="Century Gothic"/>
          <w:noProof/>
        </w:rPr>
      </w:pPr>
      <w:bookmarkStart w:id="0" w:name="_Hlk501617479"/>
    </w:p>
    <w:p w14:paraId="7D7F3FD4" w14:textId="749561A9" w:rsidR="000B3B3A" w:rsidRPr="000B3B3A" w:rsidRDefault="000B3B3A" w:rsidP="000B3B3A">
      <w:pPr>
        <w:spacing w:after="10" w:line="259" w:lineRule="auto"/>
        <w:ind w:left="0" w:right="0" w:firstLine="0"/>
        <w:rPr>
          <w:rFonts w:ascii="Century Gothic" w:hAnsi="Century Gothic"/>
          <w:b/>
          <w:noProof/>
        </w:rPr>
      </w:pPr>
      <w:r>
        <w:rPr>
          <w:noProof/>
        </w:rPr>
        <w:drawing>
          <wp:anchor distT="0" distB="0" distL="114300" distR="114300" simplePos="0" relativeHeight="251665408" behindDoc="1" locked="0" layoutInCell="1" allowOverlap="1" wp14:anchorId="5323FCFB" wp14:editId="49A54B93">
            <wp:simplePos x="0" y="0"/>
            <wp:positionH relativeFrom="column">
              <wp:posOffset>3344545</wp:posOffset>
            </wp:positionH>
            <wp:positionV relativeFrom="paragraph">
              <wp:posOffset>47576</wp:posOffset>
            </wp:positionV>
            <wp:extent cx="3155950" cy="2103120"/>
            <wp:effectExtent l="0" t="0" r="6350" b="0"/>
            <wp:wrapTight wrapText="bothSides">
              <wp:wrapPolygon edited="0">
                <wp:start x="0" y="0"/>
                <wp:lineTo x="0" y="21326"/>
                <wp:lineTo x="21513" y="21326"/>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Stock_5212543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5950" cy="2103120"/>
                    </a:xfrm>
                    <a:prstGeom prst="rect">
                      <a:avLst/>
                    </a:prstGeom>
                  </pic:spPr>
                </pic:pic>
              </a:graphicData>
            </a:graphic>
            <wp14:sizeRelH relativeFrom="margin">
              <wp14:pctWidth>0</wp14:pctWidth>
            </wp14:sizeRelH>
            <wp14:sizeRelV relativeFrom="margin">
              <wp14:pctHeight>0</wp14:pctHeight>
            </wp14:sizeRelV>
          </wp:anchor>
        </w:drawing>
      </w:r>
      <w:r w:rsidRPr="000B3B3A">
        <w:rPr>
          <w:rFonts w:ascii="Century Gothic" w:hAnsi="Century Gothic"/>
          <w:b/>
          <w:noProof/>
        </w:rPr>
        <w:t xml:space="preserve">Course Description: </w:t>
      </w:r>
      <w:r w:rsidR="0029038D" w:rsidRPr="0029038D">
        <w:rPr>
          <w:rFonts w:ascii="Century Gothic" w:hAnsi="Century Gothic"/>
          <w:noProof/>
        </w:rPr>
        <w:t>This course provides teachers strategies to assess students’ knowledge and thinking in order to more effectively engage them through usage of diverse learning modalities, elicit evidence of any conceptual obstacles, provide examples to promote inquiry and to challenge students’ beliefs, ideas and/or concepts, address misunderstandings, reteach something in a new context, provide appropriate scaffolding, identify students who may need additional or different levels of support, revisit learning goals and make adjustments as necessary, and provide multiple and varied opportunities for students to access, refine, and further their learning in any content area. Teachers build a repertoire of techniques through this course, full of novelty beyond the KWL chart, to monitor and promote student learning for mastery of Next Generation Learning Standards through heightened engagement and just-enough, just-in-time support.</w:t>
      </w:r>
    </w:p>
    <w:p w14:paraId="26DECF75" w14:textId="5C8DFCB5" w:rsidR="000B3B3A" w:rsidRDefault="000B3B3A" w:rsidP="000B3B3A">
      <w:pPr>
        <w:spacing w:after="10" w:line="259" w:lineRule="auto"/>
        <w:ind w:left="0" w:right="0" w:firstLine="0"/>
        <w:rPr>
          <w:rFonts w:ascii="Century Gothic" w:hAnsi="Century Gothic"/>
          <w:noProof/>
        </w:rPr>
      </w:pPr>
    </w:p>
    <w:p w14:paraId="4E248704" w14:textId="6A5C876E" w:rsidR="005E3C69" w:rsidRDefault="005E3C69" w:rsidP="000B3B3A">
      <w:pPr>
        <w:spacing w:after="10" w:line="259" w:lineRule="auto"/>
        <w:ind w:left="0" w:right="0" w:firstLine="0"/>
        <w:rPr>
          <w:rFonts w:ascii="Century Gothic" w:hAnsi="Century Gothic"/>
          <w:noProof/>
        </w:rPr>
      </w:pPr>
    </w:p>
    <w:p w14:paraId="7AC48523" w14:textId="77777777" w:rsidR="005E3C69" w:rsidRPr="000B3B3A" w:rsidRDefault="005E3C69" w:rsidP="000B3B3A">
      <w:pPr>
        <w:spacing w:after="10" w:line="259" w:lineRule="auto"/>
        <w:ind w:left="0" w:right="0" w:firstLine="0"/>
        <w:rPr>
          <w:rFonts w:ascii="Century Gothic" w:hAnsi="Century Gothic"/>
          <w:noProof/>
        </w:rPr>
      </w:pPr>
    </w:p>
    <w:p w14:paraId="4DDB2F57" w14:textId="77777777" w:rsidR="005E3C69" w:rsidRDefault="005E3C69" w:rsidP="000B3B3A">
      <w:pPr>
        <w:spacing w:after="10" w:line="259" w:lineRule="auto"/>
        <w:ind w:left="0" w:right="0" w:firstLine="0"/>
        <w:rPr>
          <w:rFonts w:ascii="Century Gothic" w:hAnsi="Century Gothic"/>
          <w:b/>
          <w:noProof/>
        </w:rPr>
      </w:pPr>
    </w:p>
    <w:p w14:paraId="7B5A83BB" w14:textId="42C9AC13" w:rsidR="000B3B3A" w:rsidRPr="006B5C97"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Course Outline:</w:t>
      </w:r>
      <w:r w:rsidR="006B5C97">
        <w:rPr>
          <w:rFonts w:ascii="Century Gothic" w:hAnsi="Century Gothic"/>
          <w:b/>
          <w:noProof/>
        </w:rPr>
        <w:t xml:space="preserve"> </w:t>
      </w:r>
      <w:r w:rsidR="006B5C97">
        <w:rPr>
          <w:rFonts w:ascii="Century Gothic" w:hAnsi="Century Gothic"/>
          <w:noProof/>
        </w:rPr>
        <w:t>This course consists of 9 sessions.</w:t>
      </w:r>
    </w:p>
    <w:p w14:paraId="69E97FDE" w14:textId="669AEF50" w:rsidR="000B3B3A" w:rsidRPr="000B3B3A" w:rsidRDefault="000B3B3A" w:rsidP="000B3B3A">
      <w:pPr>
        <w:spacing w:after="10" w:line="259" w:lineRule="auto"/>
        <w:ind w:left="0" w:right="0" w:firstLine="0"/>
        <w:rPr>
          <w:rFonts w:ascii="Century Gothic" w:hAnsi="Century Gothic"/>
          <w:b/>
          <w:noProof/>
        </w:rPr>
      </w:pPr>
    </w:p>
    <w:p w14:paraId="3DDB4BAE" w14:textId="77777777"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1:</w:t>
      </w:r>
      <w:r w:rsidRPr="000B3B3A">
        <w:rPr>
          <w:rFonts w:ascii="Century Gothic" w:hAnsi="Century Gothic"/>
          <w:noProof/>
        </w:rPr>
        <w:t xml:space="preserve"> Course Introduction</w:t>
      </w:r>
    </w:p>
    <w:p w14:paraId="20F3187F" w14:textId="77777777"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2:</w:t>
      </w:r>
      <w:r w:rsidRPr="000B3B3A">
        <w:rPr>
          <w:rFonts w:ascii="Century Gothic" w:hAnsi="Century Gothic"/>
          <w:noProof/>
        </w:rPr>
        <w:t xml:space="preserve"> Purposes of Formative Assessment</w:t>
      </w:r>
    </w:p>
    <w:p w14:paraId="28FF8226" w14:textId="77777777"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3:</w:t>
      </w:r>
      <w:r w:rsidRPr="000B3B3A">
        <w:rPr>
          <w:rFonts w:ascii="Century Gothic" w:hAnsi="Century Gothic"/>
          <w:noProof/>
        </w:rPr>
        <w:t xml:space="preserve"> Research to Support Formative Assessment and Its Role</w:t>
      </w:r>
    </w:p>
    <w:p w14:paraId="6D30C69E" w14:textId="19773905"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4:</w:t>
      </w:r>
      <w:r w:rsidRPr="000B3B3A">
        <w:rPr>
          <w:rFonts w:ascii="Century Gothic" w:hAnsi="Century Gothic"/>
          <w:noProof/>
        </w:rPr>
        <w:t xml:space="preserve"> Classroom Characteristics Conducive to Effective Formative Assessment</w:t>
      </w:r>
    </w:p>
    <w:p w14:paraId="03407AF0" w14:textId="616ACC00"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5:</w:t>
      </w:r>
      <w:r w:rsidRPr="000B3B3A">
        <w:rPr>
          <w:rFonts w:ascii="Century Gothic" w:hAnsi="Century Gothic"/>
          <w:noProof/>
        </w:rPr>
        <w:t xml:space="preserve"> Key Characteristics of Effective Formative Assessment Strategies</w:t>
      </w:r>
    </w:p>
    <w:p w14:paraId="5BB8ED14" w14:textId="5BAB118A"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6:</w:t>
      </w:r>
      <w:r w:rsidRPr="000B3B3A">
        <w:rPr>
          <w:rFonts w:ascii="Century Gothic" w:hAnsi="Century Gothic"/>
          <w:noProof/>
        </w:rPr>
        <w:t xml:space="preserve"> Specific Formative Assessment Strategies for Specific Purposes</w:t>
      </w:r>
    </w:p>
    <w:p w14:paraId="606BF255" w14:textId="79EEB6C1"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Session 7:</w:t>
      </w:r>
      <w:r w:rsidRPr="000B3B3A">
        <w:rPr>
          <w:rFonts w:ascii="Century Gothic" w:hAnsi="Century Gothic"/>
          <w:noProof/>
        </w:rPr>
        <w:t xml:space="preserve"> Technology Tools to Support Effective Formative Assessment</w:t>
      </w:r>
    </w:p>
    <w:p w14:paraId="283C7E19" w14:textId="77777777" w:rsidR="000B3B3A" w:rsidRPr="000B3B3A" w:rsidRDefault="000B3B3A" w:rsidP="000B3B3A">
      <w:pPr>
        <w:spacing w:after="10" w:line="259" w:lineRule="auto"/>
        <w:ind w:left="0" w:right="0" w:firstLine="0"/>
        <w:rPr>
          <w:rFonts w:ascii="Century Gothic" w:hAnsi="Century Gothic"/>
          <w:noProof/>
        </w:rPr>
      </w:pPr>
      <w:r w:rsidRPr="000B3B3A">
        <w:rPr>
          <w:rFonts w:ascii="Century Gothic" w:hAnsi="Century Gothic"/>
          <w:b/>
          <w:noProof/>
        </w:rPr>
        <w:t xml:space="preserve">Session 8: </w:t>
      </w:r>
      <w:r w:rsidRPr="000B3B3A">
        <w:rPr>
          <w:rFonts w:ascii="Century Gothic" w:hAnsi="Century Gothic"/>
          <w:noProof/>
        </w:rPr>
        <w:t>Aligning Formative Assessment and Summative Assessment</w:t>
      </w:r>
    </w:p>
    <w:p w14:paraId="797C2908" w14:textId="179F625D" w:rsidR="00F153D7" w:rsidRPr="00BA6978" w:rsidRDefault="000B3B3A" w:rsidP="000B3B3A">
      <w:pPr>
        <w:spacing w:after="10" w:line="259" w:lineRule="auto"/>
        <w:ind w:left="0" w:right="0" w:firstLine="0"/>
        <w:rPr>
          <w:rFonts w:ascii="Century Gothic" w:hAnsi="Century Gothic"/>
        </w:rPr>
      </w:pPr>
      <w:r w:rsidRPr="000B3B3A">
        <w:rPr>
          <w:rFonts w:ascii="Century Gothic" w:hAnsi="Century Gothic"/>
          <w:b/>
          <w:noProof/>
        </w:rPr>
        <w:t>Session 9:</w:t>
      </w:r>
      <w:r w:rsidRPr="000B3B3A">
        <w:rPr>
          <w:rFonts w:ascii="Century Gothic" w:hAnsi="Century Gothic"/>
          <w:noProof/>
        </w:rPr>
        <w:t xml:space="preserve"> Final Project (personalized portfolio of learning)</w:t>
      </w:r>
      <w:r w:rsidR="00F153D7" w:rsidRPr="00BA6978">
        <w:rPr>
          <w:rFonts w:ascii="Century Gothic" w:hAnsi="Century Gothic"/>
        </w:rPr>
        <w:t xml:space="preserve"> </w:t>
      </w:r>
    </w:p>
    <w:p w14:paraId="14BCEFEF" w14:textId="63B23078" w:rsidR="000478F1" w:rsidRDefault="000478F1" w:rsidP="00F153D7">
      <w:pPr>
        <w:spacing w:after="10" w:line="259" w:lineRule="auto"/>
        <w:ind w:left="0" w:right="0" w:firstLine="0"/>
        <w:rPr>
          <w:rFonts w:ascii="Century Gothic" w:hAnsi="Century Gothic"/>
          <w:b/>
        </w:rPr>
      </w:pPr>
    </w:p>
    <w:bookmarkEnd w:id="0"/>
    <w:p w14:paraId="60348B6B" w14:textId="77777777" w:rsidR="005E3C69" w:rsidRPr="002D622C" w:rsidRDefault="005E3C69" w:rsidP="005E3C69">
      <w:pPr>
        <w:spacing w:after="10" w:line="259" w:lineRule="auto"/>
        <w:ind w:left="0" w:right="0" w:firstLine="0"/>
        <w:rPr>
          <w:rFonts w:ascii="Century Gothic" w:hAnsi="Century Gothic"/>
          <w:b/>
        </w:rPr>
      </w:pPr>
      <w:r w:rsidRPr="002D622C">
        <w:rPr>
          <w:rFonts w:ascii="Century Gothic" w:hAnsi="Century Gothic"/>
          <w:b/>
        </w:rPr>
        <w:t xml:space="preserve">Aligned with Danielson’s Framework, including the following components: </w:t>
      </w:r>
    </w:p>
    <w:p w14:paraId="5AD583E0" w14:textId="77777777" w:rsidR="005E3C69" w:rsidRDefault="005E3C69" w:rsidP="005E3C69">
      <w:pPr>
        <w:pStyle w:val="ListParagraph"/>
        <w:numPr>
          <w:ilvl w:val="0"/>
          <w:numId w:val="1"/>
        </w:numPr>
        <w:spacing w:after="10" w:line="259" w:lineRule="auto"/>
        <w:ind w:right="0"/>
        <w:rPr>
          <w:rFonts w:ascii="Century Gothic" w:hAnsi="Century Gothic"/>
        </w:rPr>
      </w:pPr>
      <w:r w:rsidRPr="002D622C">
        <w:rPr>
          <w:rFonts w:ascii="Century Gothic" w:hAnsi="Century Gothic"/>
        </w:rPr>
        <w:t>1f: Designing Students Assessments</w:t>
      </w:r>
    </w:p>
    <w:p w14:paraId="4C3119D1" w14:textId="77777777" w:rsidR="005E3C69" w:rsidRPr="002D622C" w:rsidRDefault="005E3C69" w:rsidP="005E3C69">
      <w:pPr>
        <w:pStyle w:val="ListParagraph"/>
        <w:numPr>
          <w:ilvl w:val="0"/>
          <w:numId w:val="1"/>
        </w:numPr>
        <w:spacing w:after="10" w:line="259" w:lineRule="auto"/>
        <w:ind w:right="0"/>
        <w:rPr>
          <w:rFonts w:ascii="Century Gothic" w:hAnsi="Century Gothic"/>
        </w:rPr>
      </w:pPr>
      <w:r w:rsidRPr="002D622C">
        <w:rPr>
          <w:rFonts w:ascii="Century Gothic" w:hAnsi="Century Gothic"/>
        </w:rPr>
        <w:t>3d: Using Assessment in Instruction</w:t>
      </w:r>
    </w:p>
    <w:p w14:paraId="12B840EB" w14:textId="77777777" w:rsidR="005E3C69" w:rsidRPr="002D622C" w:rsidRDefault="005E3C69" w:rsidP="005E3C69">
      <w:pPr>
        <w:spacing w:after="10" w:line="259" w:lineRule="auto"/>
        <w:ind w:left="0" w:right="0" w:firstLine="0"/>
        <w:rPr>
          <w:rFonts w:ascii="Century Gothic" w:hAnsi="Century Gothic"/>
        </w:rPr>
      </w:pPr>
    </w:p>
    <w:p w14:paraId="419F309E" w14:textId="77777777" w:rsidR="005E3C69" w:rsidRDefault="005E3C69" w:rsidP="005E3C69">
      <w:pPr>
        <w:spacing w:after="10" w:line="259" w:lineRule="auto"/>
        <w:ind w:left="0" w:right="0" w:firstLine="0"/>
        <w:rPr>
          <w:rFonts w:ascii="Century Gothic" w:hAnsi="Century Gothic"/>
          <w:b/>
        </w:rPr>
      </w:pPr>
      <w:r w:rsidRPr="002D622C">
        <w:rPr>
          <w:rFonts w:ascii="Century Gothic" w:hAnsi="Century Gothic"/>
          <w:b/>
        </w:rPr>
        <w:t>Aligned with Next Generation Standards, including:</w:t>
      </w:r>
    </w:p>
    <w:p w14:paraId="1318EE8D" w14:textId="77777777" w:rsidR="005E3C69" w:rsidRPr="002D622C" w:rsidRDefault="005E3C69" w:rsidP="005E3C69">
      <w:pPr>
        <w:pStyle w:val="ListParagraph"/>
        <w:numPr>
          <w:ilvl w:val="0"/>
          <w:numId w:val="2"/>
        </w:numPr>
        <w:spacing w:after="10" w:line="259" w:lineRule="auto"/>
        <w:ind w:right="0"/>
        <w:rPr>
          <w:rFonts w:ascii="Century Gothic" w:hAnsi="Century Gothic"/>
          <w:b/>
        </w:rPr>
      </w:pPr>
      <w:r w:rsidRPr="002D622C">
        <w:rPr>
          <w:rFonts w:ascii="Century Gothic" w:hAnsi="Century Gothic"/>
        </w:rPr>
        <w:t>Mathematics Learning Standards (2017), Standards for Mathematical Practice #3: Construct viable arguments and critique the reasoning of others, as some formative assessment strategies invite students to verbalize/express their reasoning and negotiate their ideas with those of their peers for advancement of learning</w:t>
      </w:r>
    </w:p>
    <w:p w14:paraId="3E843FD6" w14:textId="77777777" w:rsidR="005E3C69" w:rsidRPr="002D622C" w:rsidRDefault="005E3C69" w:rsidP="005E3C69">
      <w:pPr>
        <w:pStyle w:val="ListParagraph"/>
        <w:numPr>
          <w:ilvl w:val="0"/>
          <w:numId w:val="2"/>
        </w:numPr>
        <w:spacing w:after="10" w:line="259" w:lineRule="auto"/>
        <w:ind w:right="0"/>
        <w:rPr>
          <w:rFonts w:ascii="Century Gothic" w:hAnsi="Century Gothic"/>
        </w:rPr>
      </w:pPr>
      <w:r w:rsidRPr="002D622C">
        <w:rPr>
          <w:rFonts w:ascii="Century Gothic" w:hAnsi="Century Gothic"/>
        </w:rPr>
        <w:t>Speaking &amp; Listening Anchor Standards (</w:t>
      </w:r>
      <w:proofErr w:type="gramStart"/>
      <w:r w:rsidRPr="002D622C">
        <w:rPr>
          <w:rFonts w:ascii="Century Gothic" w:hAnsi="Century Gothic"/>
        </w:rPr>
        <w:t>2017)#</w:t>
      </w:r>
      <w:proofErr w:type="gramEnd"/>
      <w:r w:rsidRPr="002D622C">
        <w:rPr>
          <w:rFonts w:ascii="Century Gothic" w:hAnsi="Century Gothic"/>
        </w:rPr>
        <w:t>1: Prepare for and participate effectively in a range of conversations and collaborations with diverse partners; express ideas clearly and persuasively, and build on those of others.</w:t>
      </w:r>
    </w:p>
    <w:p w14:paraId="2B3EFF3C" w14:textId="7291B973" w:rsidR="000B3B3A" w:rsidRDefault="000B3B3A" w:rsidP="000B3B3A">
      <w:pPr>
        <w:spacing w:after="10" w:line="259" w:lineRule="auto"/>
        <w:ind w:left="0" w:right="0" w:firstLine="0"/>
        <w:rPr>
          <w:rFonts w:ascii="Century Gothic" w:hAnsi="Century Gothic"/>
        </w:rPr>
      </w:pPr>
    </w:p>
    <w:p w14:paraId="6CB3FFA9" w14:textId="77777777" w:rsidR="005E3C69" w:rsidRPr="00F45095" w:rsidRDefault="005E3C69" w:rsidP="005E3C69">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5B846045" w14:textId="77777777" w:rsidR="005E3C69" w:rsidRPr="00BA6978" w:rsidRDefault="005E3C69" w:rsidP="000B3B3A">
      <w:pPr>
        <w:spacing w:after="10" w:line="259" w:lineRule="auto"/>
        <w:ind w:left="0" w:right="0" w:firstLine="0"/>
        <w:rPr>
          <w:rFonts w:ascii="Century Gothic" w:hAnsi="Century Gothic"/>
        </w:rPr>
      </w:pPr>
      <w:bookmarkStart w:id="1" w:name="_GoBack"/>
      <w:bookmarkEnd w:id="1"/>
    </w:p>
    <w:p w14:paraId="43A89FF8" w14:textId="1137325F" w:rsidR="00F153D7" w:rsidRPr="00BA6978" w:rsidRDefault="00F153D7" w:rsidP="00F153D7">
      <w:pPr>
        <w:spacing w:after="10" w:line="259" w:lineRule="auto"/>
        <w:ind w:left="0" w:right="0" w:firstLine="0"/>
        <w:rPr>
          <w:rFonts w:ascii="Century Gothic" w:hAnsi="Century Gothic"/>
        </w:rPr>
      </w:pPr>
    </w:p>
    <w:sectPr w:rsidR="00F153D7" w:rsidRPr="00BA6978"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6666" w14:textId="77777777" w:rsidR="00DC0C75" w:rsidRDefault="00DC0C75" w:rsidP="00A9270B">
      <w:pPr>
        <w:spacing w:after="0" w:line="240" w:lineRule="auto"/>
      </w:pPr>
      <w:r>
        <w:separator/>
      </w:r>
    </w:p>
  </w:endnote>
  <w:endnote w:type="continuationSeparator" w:id="0">
    <w:p w14:paraId="5711BD73" w14:textId="77777777" w:rsidR="00DC0C75" w:rsidRDefault="00DC0C75"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EB35" w14:textId="77777777" w:rsidR="00DC0C75" w:rsidRDefault="00DC0C75" w:rsidP="00A9270B">
      <w:pPr>
        <w:spacing w:after="0" w:line="240" w:lineRule="auto"/>
      </w:pPr>
      <w:r>
        <w:separator/>
      </w:r>
    </w:p>
  </w:footnote>
  <w:footnote w:type="continuationSeparator" w:id="0">
    <w:p w14:paraId="706245BC" w14:textId="77777777" w:rsidR="00DC0C75" w:rsidRDefault="00DC0C75"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3B1"/>
    <w:multiLevelType w:val="hybridMultilevel"/>
    <w:tmpl w:val="8650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4777"/>
    <w:multiLevelType w:val="hybridMultilevel"/>
    <w:tmpl w:val="DDAC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29A0"/>
    <w:rsid w:val="000478F1"/>
    <w:rsid w:val="000B3B3A"/>
    <w:rsid w:val="001230A2"/>
    <w:rsid w:val="0027728C"/>
    <w:rsid w:val="0029038D"/>
    <w:rsid w:val="002C051E"/>
    <w:rsid w:val="002C2E85"/>
    <w:rsid w:val="002D622C"/>
    <w:rsid w:val="00336081"/>
    <w:rsid w:val="00337297"/>
    <w:rsid w:val="00366A11"/>
    <w:rsid w:val="00397598"/>
    <w:rsid w:val="00543D95"/>
    <w:rsid w:val="005E3C69"/>
    <w:rsid w:val="006B5C97"/>
    <w:rsid w:val="007457E0"/>
    <w:rsid w:val="007765E4"/>
    <w:rsid w:val="007A48EB"/>
    <w:rsid w:val="00862CCD"/>
    <w:rsid w:val="008C7B7E"/>
    <w:rsid w:val="008E7CA4"/>
    <w:rsid w:val="009A672F"/>
    <w:rsid w:val="009E2068"/>
    <w:rsid w:val="00A4495E"/>
    <w:rsid w:val="00A9270B"/>
    <w:rsid w:val="00B03BFE"/>
    <w:rsid w:val="00B16836"/>
    <w:rsid w:val="00BA6978"/>
    <w:rsid w:val="00BB50F8"/>
    <w:rsid w:val="00BF2473"/>
    <w:rsid w:val="00D71CF4"/>
    <w:rsid w:val="00D92823"/>
    <w:rsid w:val="00D96C62"/>
    <w:rsid w:val="00DB4C6B"/>
    <w:rsid w:val="00DC0C75"/>
    <w:rsid w:val="00E33CBA"/>
    <w:rsid w:val="00E90926"/>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D622C"/>
    <w:pPr>
      <w:ind w:left="720"/>
      <w:contextualSpacing/>
    </w:pPr>
  </w:style>
  <w:style w:type="character" w:styleId="Hyperlink">
    <w:name w:val="Hyperlink"/>
    <w:basedOn w:val="DefaultParagraphFont"/>
    <w:uiPriority w:val="99"/>
    <w:unhideWhenUsed/>
    <w:rsid w:val="005E3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50575600">
      <w:bodyDiv w:val="1"/>
      <w:marLeft w:val="0"/>
      <w:marRight w:val="0"/>
      <w:marTop w:val="0"/>
      <w:marBottom w:val="0"/>
      <w:divBdr>
        <w:top w:val="none" w:sz="0" w:space="0" w:color="auto"/>
        <w:left w:val="none" w:sz="0" w:space="0" w:color="auto"/>
        <w:bottom w:val="none" w:sz="0" w:space="0" w:color="auto"/>
        <w:right w:val="none" w:sz="0" w:space="0" w:color="auto"/>
      </w:divBdr>
    </w:div>
    <w:div w:id="913590295">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433671575">
      <w:bodyDiv w:val="1"/>
      <w:marLeft w:val="0"/>
      <w:marRight w:val="0"/>
      <w:marTop w:val="0"/>
      <w:marBottom w:val="0"/>
      <w:divBdr>
        <w:top w:val="none" w:sz="0" w:space="0" w:color="auto"/>
        <w:left w:val="none" w:sz="0" w:space="0" w:color="auto"/>
        <w:bottom w:val="none" w:sz="0" w:space="0" w:color="auto"/>
        <w:right w:val="none" w:sz="0" w:space="0" w:color="auto"/>
      </w:divBdr>
    </w:div>
    <w:div w:id="175612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2019-12-04T17:40:00Z</dcterms:created>
  <dcterms:modified xsi:type="dcterms:W3CDTF">2019-12-04T17:40:00Z</dcterms:modified>
</cp:coreProperties>
</file>